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EA" w:rsidRDefault="00E31E00" w:rsidP="00E31E00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طول موثر هریک از ستونهای</w:t>
      </w:r>
      <w:r>
        <w:t xml:space="preserve"> </w:t>
      </w:r>
      <w:r>
        <w:rPr>
          <w:rFonts w:hint="cs"/>
          <w:rtl/>
        </w:rPr>
        <w:t xml:space="preserve">قاب مقابل را یکبار با فرض مهاربند بودن قاب ویکبار با فرض بدون مهار بندی آن، با استفاده از نموگراف و همچنین استفاده از روابط تقریبی بدست آورید. </w:t>
      </w:r>
      <w:r w:rsidR="00565CA5">
        <w:rPr>
          <w:rFonts w:hint="cs"/>
          <w:noProof/>
        </w:rPr>
        <w:drawing>
          <wp:inline distT="0" distB="0" distL="0" distR="0" wp14:anchorId="7E6B744F" wp14:editId="7B59E971">
            <wp:extent cx="5734050" cy="429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00" w:rsidRDefault="00E31E00" w:rsidP="005740D9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نتایج آنالیز الاستیک مرتبه اول برای یک </w:t>
      </w:r>
      <w:r w:rsidRPr="00B07142">
        <w:rPr>
          <w:rFonts w:asciiTheme="majorBidi" w:hAnsiTheme="majorBidi" w:cstheme="majorBidi"/>
          <w:rtl/>
        </w:rPr>
        <w:t>قاب یک</w:t>
      </w:r>
      <w:r>
        <w:rPr>
          <w:rFonts w:hint="cs"/>
          <w:rtl/>
        </w:rPr>
        <w:t xml:space="preserve"> دهانع دو طبقه مورد بررسی قرار گرفته است</w:t>
      </w:r>
      <w:r w:rsidR="00B07142">
        <w:rPr>
          <w:rFonts w:hint="cs"/>
          <w:rtl/>
        </w:rPr>
        <w:t xml:space="preserve"> و نیروی داخلی یکی از ستونهای طبقه اول (ستون </w:t>
      </w:r>
      <w:r w:rsidR="00B07142">
        <w:t>AB</w:t>
      </w:r>
      <w:r w:rsidR="00B07142">
        <w:rPr>
          <w:rFonts w:hint="cs"/>
          <w:rtl/>
        </w:rPr>
        <w:t xml:space="preserve">) به طول </w:t>
      </w:r>
      <w:r w:rsidR="005740D9">
        <w:rPr>
          <w:rFonts w:hint="cs"/>
          <w:rtl/>
        </w:rPr>
        <w:t>5.5</w:t>
      </w:r>
      <w:r w:rsidR="00B07142">
        <w:rPr>
          <w:rFonts w:hint="cs"/>
          <w:rtl/>
        </w:rPr>
        <w:t xml:space="preserve"> متر، تحت بارهای مختلف به صورت بدون ضریب در جدول داده شده است. با منظور کردن کلیه ترکیبات بارگذاری آئین نامه ای، به فرض آن که قاب مهار بندی شده باشد و </w:t>
      </w:r>
      <w:r w:rsidR="00B07142">
        <w:t xml:space="preserve">K=1.0 </w:t>
      </w:r>
      <w:r w:rsidR="00B07142">
        <w:rPr>
          <w:rFonts w:hint="cs"/>
          <w:rtl/>
        </w:rPr>
        <w:t xml:space="preserve"> در نظر گرفته شود، ستون </w:t>
      </w:r>
      <w:r w:rsidR="00B07142">
        <w:t>AB</w:t>
      </w:r>
      <w:r w:rsidR="00B07142">
        <w:rPr>
          <w:rFonts w:hint="cs"/>
          <w:rtl/>
        </w:rPr>
        <w:t xml:space="preserve"> را طراحی نمایید. فرض کنید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=400 Mpa </m:t>
        </m:r>
        <m:r>
          <m:rPr>
            <m:sty m:val="p"/>
          </m:rPr>
          <w:rPr>
            <w:rFonts w:ascii="Cambria Math" w:hAnsi="Cambria Math"/>
            <w:rtl/>
          </w:rPr>
          <m:t xml:space="preserve">و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=35 Mpa</m:t>
        </m:r>
      </m:oMath>
      <w:r w:rsidR="00B07142">
        <w:rPr>
          <w:rFonts w:eastAsiaTheme="minorEastAsia" w:hint="cs"/>
          <w:rtl/>
        </w:rPr>
        <w:t xml:space="preserve"> . </w:t>
      </w:r>
    </w:p>
    <w:p w:rsidR="00B07142" w:rsidRPr="00B07142" w:rsidRDefault="00B07142" w:rsidP="00B07142">
      <w:pPr>
        <w:pStyle w:val="ListParagraph"/>
        <w:rPr>
          <w:rFonts w:hint="c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77"/>
        <w:gridCol w:w="1244"/>
        <w:gridCol w:w="1699"/>
        <w:gridCol w:w="1694"/>
        <w:gridCol w:w="1708"/>
      </w:tblGrid>
      <w:tr w:rsidR="00B07142" w:rsidTr="004F476E">
        <w:tc>
          <w:tcPr>
            <w:tcW w:w="2177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تلاش داخلی</w:t>
            </w:r>
          </w:p>
        </w:tc>
        <w:tc>
          <w:tcPr>
            <w:tcW w:w="1244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بار مرده</w:t>
            </w:r>
          </w:p>
        </w:tc>
        <w:tc>
          <w:tcPr>
            <w:tcW w:w="1699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بار زنده</w:t>
            </w:r>
          </w:p>
        </w:tc>
        <w:tc>
          <w:tcPr>
            <w:tcW w:w="1694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بار زنده بام</w:t>
            </w:r>
          </w:p>
        </w:tc>
        <w:tc>
          <w:tcPr>
            <w:tcW w:w="1708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بار زلزله</w:t>
            </w:r>
          </w:p>
        </w:tc>
      </w:tr>
      <w:tr w:rsidR="00B07142" w:rsidTr="004F476E">
        <w:tc>
          <w:tcPr>
            <w:tcW w:w="2177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نیروی محوری</w:t>
            </w:r>
          </w:p>
          <w:p w:rsidR="004F476E" w:rsidRDefault="004F476E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t>KN</w:t>
            </w:r>
          </w:p>
        </w:tc>
        <w:tc>
          <w:tcPr>
            <w:tcW w:w="1244" w:type="dxa"/>
            <w:vAlign w:val="center"/>
          </w:tcPr>
          <w:p w:rsidR="00B07142" w:rsidRDefault="00107D8D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400</w:t>
            </w:r>
          </w:p>
        </w:tc>
        <w:tc>
          <w:tcPr>
            <w:tcW w:w="1699" w:type="dxa"/>
            <w:vAlign w:val="center"/>
          </w:tcPr>
          <w:p w:rsidR="00B07142" w:rsidRDefault="00107D8D" w:rsidP="005740D9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1694" w:type="dxa"/>
            <w:vAlign w:val="center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708" w:type="dxa"/>
            <w:vAlign w:val="center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B07142" w:rsidTr="004F476E">
        <w:tc>
          <w:tcPr>
            <w:tcW w:w="2177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لنگر در ابتدای ستون</w:t>
            </w:r>
          </w:p>
          <w:p w:rsidR="004F476E" w:rsidRDefault="004F476E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proofErr w:type="spellStart"/>
            <w:r>
              <w:t>KN</w:t>
            </w:r>
            <w:r>
              <w:t>.</w:t>
            </w:r>
            <w:r>
              <w:t>m</w:t>
            </w:r>
            <w:proofErr w:type="spellEnd"/>
          </w:p>
        </w:tc>
        <w:tc>
          <w:tcPr>
            <w:tcW w:w="1244" w:type="dxa"/>
            <w:vAlign w:val="center"/>
          </w:tcPr>
          <w:p w:rsidR="00B07142" w:rsidRDefault="00107D8D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1699" w:type="dxa"/>
            <w:vAlign w:val="center"/>
          </w:tcPr>
          <w:p w:rsidR="00B07142" w:rsidRDefault="00107D8D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694" w:type="dxa"/>
            <w:vAlign w:val="center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708" w:type="dxa"/>
            <w:vAlign w:val="center"/>
          </w:tcPr>
          <w:p w:rsidR="00B07142" w:rsidRDefault="00107D8D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</w:tr>
      <w:tr w:rsidR="00B07142" w:rsidTr="004F476E">
        <w:tc>
          <w:tcPr>
            <w:tcW w:w="2177" w:type="dxa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کنگر در انتهای ستون</w:t>
            </w:r>
          </w:p>
          <w:p w:rsidR="004F476E" w:rsidRDefault="004F476E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proofErr w:type="spellStart"/>
            <w:r>
              <w:t>KN</w:t>
            </w:r>
            <w:r>
              <w:t>.</w:t>
            </w:r>
            <w:r>
              <w:t>m</w:t>
            </w:r>
            <w:proofErr w:type="spellEnd"/>
          </w:p>
        </w:tc>
        <w:tc>
          <w:tcPr>
            <w:tcW w:w="1244" w:type="dxa"/>
            <w:vAlign w:val="center"/>
          </w:tcPr>
          <w:p w:rsidR="00B07142" w:rsidRDefault="00107D8D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1699" w:type="dxa"/>
            <w:vAlign w:val="center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1694" w:type="dxa"/>
            <w:vAlign w:val="center"/>
          </w:tcPr>
          <w:p w:rsidR="00B07142" w:rsidRDefault="00B07142" w:rsidP="004F476E">
            <w:pPr>
              <w:pStyle w:val="ListParagraph"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708" w:type="dxa"/>
            <w:vAlign w:val="center"/>
          </w:tcPr>
          <w:p w:rsidR="00B07142" w:rsidRDefault="004F476E" w:rsidP="004F476E">
            <w:pPr>
              <w:pStyle w:val="ListParagraph"/>
              <w:ind w:left="0"/>
              <w:jc w:val="center"/>
            </w:pPr>
            <w:r>
              <w:rPr>
                <w:rFonts w:hint="cs"/>
                <w:rtl/>
              </w:rPr>
              <w:t>180-</w:t>
            </w:r>
          </w:p>
        </w:tc>
      </w:tr>
    </w:tbl>
    <w:p w:rsidR="00B07142" w:rsidRDefault="00B07142" w:rsidP="00B07142">
      <w:pPr>
        <w:pStyle w:val="ListParagraph"/>
        <w:rPr>
          <w:rFonts w:hint="cs"/>
        </w:rPr>
      </w:pPr>
    </w:p>
    <w:p w:rsidR="00B07142" w:rsidRDefault="00B07142" w:rsidP="00B07142">
      <w:pPr>
        <w:pStyle w:val="ListParagraph"/>
        <w:rPr>
          <w:rFonts w:hint="cs"/>
          <w:rtl/>
        </w:rPr>
      </w:pPr>
    </w:p>
    <w:p w:rsidR="00B07142" w:rsidRDefault="009318E4" w:rsidP="009318E4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مسئله قبل را در حالتی حل کنید که قاب مهار بند</w:t>
      </w:r>
      <w:bookmarkStart w:id="0" w:name="_GoBack"/>
      <w:bookmarkEnd w:id="0"/>
      <w:r>
        <w:rPr>
          <w:rFonts w:hint="cs"/>
          <w:rtl/>
        </w:rPr>
        <w:t xml:space="preserve">ی نشده بوده و مقدار </w:t>
      </w:r>
      <w:r>
        <w:t>K=1.7</w:t>
      </w:r>
    </w:p>
    <w:sectPr w:rsidR="00B07142" w:rsidSect="00614D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E08"/>
    <w:multiLevelType w:val="hybridMultilevel"/>
    <w:tmpl w:val="1F1E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A5"/>
    <w:rsid w:val="00107D8D"/>
    <w:rsid w:val="00377909"/>
    <w:rsid w:val="004F476E"/>
    <w:rsid w:val="00565CA5"/>
    <w:rsid w:val="005740D9"/>
    <w:rsid w:val="00614DB5"/>
    <w:rsid w:val="007A3447"/>
    <w:rsid w:val="009318E4"/>
    <w:rsid w:val="00B07142"/>
    <w:rsid w:val="00DC3EEA"/>
    <w:rsid w:val="00E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E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142"/>
    <w:rPr>
      <w:color w:val="808080"/>
    </w:rPr>
  </w:style>
  <w:style w:type="table" w:styleId="TableGrid">
    <w:name w:val="Table Grid"/>
    <w:basedOn w:val="TableNormal"/>
    <w:uiPriority w:val="59"/>
    <w:rsid w:val="00B0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E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142"/>
    <w:rPr>
      <w:color w:val="808080"/>
    </w:rPr>
  </w:style>
  <w:style w:type="table" w:styleId="TableGrid">
    <w:name w:val="Table Grid"/>
    <w:basedOn w:val="TableNormal"/>
    <w:uiPriority w:val="59"/>
    <w:rsid w:val="00B0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Shop-pc2</dc:creator>
  <cp:lastModifiedBy>Shop-pc2</cp:lastModifiedBy>
  <cp:revision>7</cp:revision>
  <dcterms:created xsi:type="dcterms:W3CDTF">2014-02-10T14:03:00Z</dcterms:created>
  <dcterms:modified xsi:type="dcterms:W3CDTF">2014-02-10T14:39:00Z</dcterms:modified>
</cp:coreProperties>
</file>